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EEFB" w14:textId="77777777" w:rsidR="00505157" w:rsidRDefault="00505157" w:rsidP="00505157">
      <w:pPr>
        <w:jc w:val="center"/>
        <w:outlineLvl w:val="0"/>
        <w:rPr>
          <w:b/>
          <w:bCs/>
        </w:rPr>
      </w:pPr>
    </w:p>
    <w:p w14:paraId="64D7EEFC" w14:textId="77777777" w:rsidR="00505157" w:rsidRPr="00C5156F" w:rsidRDefault="00505157" w:rsidP="00505157">
      <w:pPr>
        <w:jc w:val="center"/>
        <w:outlineLvl w:val="0"/>
        <w:rPr>
          <w:b/>
          <w:bCs/>
        </w:rPr>
      </w:pPr>
      <w:r w:rsidRPr="00C5156F">
        <w:rPr>
          <w:b/>
          <w:bCs/>
        </w:rPr>
        <w:t>PATEIKTŲ PASIŪLYMŲ ĮGYVENDINIMAS</w:t>
      </w:r>
      <w:r w:rsidRPr="00C5156F">
        <w:rPr>
          <w:rStyle w:val="Puslapioinaosnuoroda"/>
          <w:b/>
          <w:bCs/>
        </w:rPr>
        <w:footnoteReference w:id="1"/>
      </w:r>
    </w:p>
    <w:p w14:paraId="64D7EEFD" w14:textId="77777777" w:rsidR="00505157" w:rsidRPr="00C5156F" w:rsidRDefault="00505157" w:rsidP="00505157">
      <w:pPr>
        <w:jc w:val="center"/>
        <w:rPr>
          <w:b/>
          <w:bCs/>
        </w:rPr>
      </w:pPr>
    </w:p>
    <w:p w14:paraId="64D7EEFE" w14:textId="77777777" w:rsidR="00505157" w:rsidRDefault="00505157" w:rsidP="00505157"/>
    <w:tbl>
      <w:tblPr>
        <w:tblStyle w:val="Lentelstinklelis"/>
        <w:tblW w:w="14279" w:type="dxa"/>
        <w:tblLook w:val="04A0" w:firstRow="1" w:lastRow="0" w:firstColumn="1" w:lastColumn="0" w:noHBand="0" w:noVBand="1"/>
      </w:tblPr>
      <w:tblGrid>
        <w:gridCol w:w="2547"/>
        <w:gridCol w:w="3827"/>
        <w:gridCol w:w="5975"/>
        <w:gridCol w:w="1930"/>
      </w:tblGrid>
      <w:tr w:rsidR="00C94DE0" w:rsidRPr="002B3452" w14:paraId="64D7EF03" w14:textId="77777777" w:rsidTr="00482169">
        <w:tc>
          <w:tcPr>
            <w:tcW w:w="2547" w:type="dxa"/>
          </w:tcPr>
          <w:p w14:paraId="64D7EEFF" w14:textId="77777777" w:rsidR="00505157" w:rsidRPr="008F1D8D" w:rsidRDefault="00505157" w:rsidP="00F257A0">
            <w:pPr>
              <w:widowControl w:val="0"/>
              <w:jc w:val="center"/>
              <w:rPr>
                <w:i/>
                <w:snapToGrid w:val="0"/>
              </w:rPr>
            </w:pPr>
            <w:r w:rsidRPr="008F1D8D">
              <w:rPr>
                <w:i/>
                <w:snapToGrid w:val="0"/>
              </w:rPr>
              <w:t>Pateiktos pastabos</w:t>
            </w:r>
          </w:p>
        </w:tc>
        <w:tc>
          <w:tcPr>
            <w:tcW w:w="3827" w:type="dxa"/>
          </w:tcPr>
          <w:p w14:paraId="64D7EF00" w14:textId="77777777" w:rsidR="00505157" w:rsidRPr="008F1D8D" w:rsidRDefault="00505157" w:rsidP="00F257A0">
            <w:pPr>
              <w:widowControl w:val="0"/>
              <w:jc w:val="center"/>
              <w:rPr>
                <w:i/>
                <w:snapToGrid w:val="0"/>
              </w:rPr>
            </w:pPr>
            <w:r w:rsidRPr="008F1D8D">
              <w:rPr>
                <w:i/>
                <w:snapToGrid w:val="0"/>
              </w:rPr>
              <w:t>Pasiūlymai atsižvelgiant į pateiktas pastabas</w:t>
            </w:r>
          </w:p>
        </w:tc>
        <w:tc>
          <w:tcPr>
            <w:tcW w:w="5975" w:type="dxa"/>
          </w:tcPr>
          <w:p w14:paraId="64D7EF01" w14:textId="77777777" w:rsidR="00505157" w:rsidRPr="008F1D8D" w:rsidRDefault="00505157" w:rsidP="00F257A0">
            <w:pPr>
              <w:widowControl w:val="0"/>
              <w:jc w:val="center"/>
              <w:rPr>
                <w:i/>
                <w:snapToGrid w:val="0"/>
              </w:rPr>
            </w:pPr>
            <w:r w:rsidRPr="008F1D8D">
              <w:rPr>
                <w:i/>
                <w:snapToGrid w:val="0"/>
              </w:rPr>
              <w:t>Duomenys apie pastabų ir pasiūlymų įgyvendinimą</w:t>
            </w:r>
          </w:p>
        </w:tc>
        <w:tc>
          <w:tcPr>
            <w:tcW w:w="1930" w:type="dxa"/>
          </w:tcPr>
          <w:p w14:paraId="64D7EF02" w14:textId="77777777" w:rsidR="00505157" w:rsidRPr="008F1D8D" w:rsidRDefault="00505157" w:rsidP="00F257A0">
            <w:pPr>
              <w:widowControl w:val="0"/>
              <w:jc w:val="center"/>
              <w:rPr>
                <w:i/>
                <w:snapToGrid w:val="0"/>
              </w:rPr>
            </w:pPr>
            <w:r w:rsidRPr="008F1D8D">
              <w:rPr>
                <w:i/>
                <w:snapToGrid w:val="0"/>
              </w:rPr>
              <w:t>Specialiųjų tyrimų tarnybos vertinimas</w:t>
            </w:r>
          </w:p>
        </w:tc>
      </w:tr>
      <w:tr w:rsidR="00505157" w:rsidRPr="002B3452" w14:paraId="64D7EF05" w14:textId="77777777" w:rsidTr="0061579B">
        <w:tc>
          <w:tcPr>
            <w:tcW w:w="14279" w:type="dxa"/>
            <w:gridSpan w:val="4"/>
          </w:tcPr>
          <w:p w14:paraId="64D7EF04" w14:textId="77777777" w:rsidR="00505157" w:rsidRPr="008F1D8D" w:rsidRDefault="00505157" w:rsidP="00F257A0">
            <w:pPr>
              <w:pStyle w:val="Sraopastraipa"/>
              <w:widowControl w:val="0"/>
              <w:numPr>
                <w:ilvl w:val="0"/>
                <w:numId w:val="1"/>
              </w:numPr>
              <w:jc w:val="center"/>
              <w:rPr>
                <w:i/>
                <w:snapToGrid w:val="0"/>
              </w:rPr>
            </w:pPr>
            <w:r w:rsidRPr="008F1D8D">
              <w:rPr>
                <w:i/>
                <w:snapToGrid w:val="0"/>
              </w:rPr>
              <w:t>Kritinės antikorupcinės pastabos</w:t>
            </w:r>
          </w:p>
        </w:tc>
      </w:tr>
      <w:tr w:rsidR="00C94DE0" w:rsidRPr="002B3452" w14:paraId="64D7EF0A" w14:textId="77777777" w:rsidTr="00482169">
        <w:tc>
          <w:tcPr>
            <w:tcW w:w="2547" w:type="dxa"/>
          </w:tcPr>
          <w:p w14:paraId="64D7EF06" w14:textId="60B293A3" w:rsidR="00505157" w:rsidRPr="002B3452" w:rsidRDefault="0017654D" w:rsidP="00F257A0">
            <w:pPr>
              <w:widowControl w:val="0"/>
              <w:rPr>
                <w:snapToGrid w:val="0"/>
              </w:rPr>
            </w:pPr>
            <w:bookmarkStart w:id="0" w:name="_Hlk108876937"/>
            <w:r w:rsidRPr="0017654D">
              <w:rPr>
                <w:snapToGrid w:val="0"/>
              </w:rPr>
              <w:t>Siekdami mažinti korupcijos riziką savivaldybės (tarnybinio) būsto nuomos srityje</w:t>
            </w:r>
          </w:p>
        </w:tc>
        <w:tc>
          <w:tcPr>
            <w:tcW w:w="3827" w:type="dxa"/>
          </w:tcPr>
          <w:p w14:paraId="64D7EF07" w14:textId="3EE49E29" w:rsidR="00505157" w:rsidRPr="002B3452" w:rsidRDefault="0017654D" w:rsidP="009B4198">
            <w:pPr>
              <w:widowControl w:val="0"/>
              <w:jc w:val="both"/>
              <w:rPr>
                <w:snapToGrid w:val="0"/>
              </w:rPr>
            </w:pPr>
            <w:r w:rsidRPr="0017654D">
              <w:rPr>
                <w:snapToGrid w:val="0"/>
              </w:rPr>
              <w:t>Reglamentuoti tarnybinių būstų nuomos tvarką ir nustatyti, kaip savivaldybės gyvenamosios patalpos priskiriamos ir nuomojamos tarnybinio būsto sąlygomis.</w:t>
            </w:r>
          </w:p>
        </w:tc>
        <w:tc>
          <w:tcPr>
            <w:tcW w:w="5975" w:type="dxa"/>
          </w:tcPr>
          <w:p w14:paraId="64D7EF08" w14:textId="5C52CB2A" w:rsidR="00505157" w:rsidRPr="00B20012" w:rsidRDefault="00B20012" w:rsidP="009B4198">
            <w:pPr>
              <w:tabs>
                <w:tab w:val="center" w:pos="4153"/>
                <w:tab w:val="left" w:pos="6096"/>
                <w:tab w:val="center" w:pos="7655"/>
                <w:tab w:val="right" w:pos="8306"/>
              </w:tabs>
              <w:jc w:val="both"/>
              <w:rPr>
                <w:bCs/>
                <w:strike/>
                <w:shd w:val="clear" w:color="auto" w:fill="FFFFFF"/>
              </w:rPr>
            </w:pPr>
            <w:r>
              <w:rPr>
                <w:snapToGrid w:val="0"/>
              </w:rPr>
              <w:t xml:space="preserve">2022 m. birželio 30 d.  Neringos savivaldybės </w:t>
            </w:r>
            <w:r w:rsidR="00F54AF4">
              <w:rPr>
                <w:snapToGrid w:val="0"/>
              </w:rPr>
              <w:t>t</w:t>
            </w:r>
            <w:r>
              <w:rPr>
                <w:snapToGrid w:val="0"/>
              </w:rPr>
              <w:t>arybos sprendimu Nr. T1-109 „D</w:t>
            </w:r>
            <w:r w:rsidRPr="00C94DE0">
              <w:rPr>
                <w:snapToGrid w:val="0"/>
              </w:rPr>
              <w:t xml:space="preserve">ėl </w:t>
            </w:r>
            <w:r>
              <w:rPr>
                <w:snapToGrid w:val="0"/>
              </w:rPr>
              <w:t>N</w:t>
            </w:r>
            <w:r w:rsidRPr="00C94DE0">
              <w:rPr>
                <w:snapToGrid w:val="0"/>
              </w:rPr>
              <w:t>eringos savivaldybės būsto ir socialinio būsto nuomos tvarkos aprašo patvirtinimo</w:t>
            </w:r>
            <w:r>
              <w:rPr>
                <w:snapToGrid w:val="0"/>
              </w:rPr>
              <w:t>“ buvo patvirtintas naujas N</w:t>
            </w:r>
            <w:r w:rsidRPr="00C94DE0">
              <w:rPr>
                <w:snapToGrid w:val="0"/>
              </w:rPr>
              <w:t>eringos savivaldybės būsto ir socialinio būsto nuomos tvarkos aprašas</w:t>
            </w:r>
            <w:r w:rsidR="00C30B1D">
              <w:rPr>
                <w:snapToGrid w:val="0"/>
              </w:rPr>
              <w:t xml:space="preserve"> (toliau – Aprašas)</w:t>
            </w:r>
            <w:r>
              <w:rPr>
                <w:snapToGrid w:val="0"/>
              </w:rPr>
              <w:t>, kurio III skyriuje „Savivaldybės būsto nuoma“</w:t>
            </w:r>
            <w:r w:rsidRPr="00933B6F">
              <w:rPr>
                <w:bCs/>
                <w:shd w:val="clear" w:color="auto" w:fill="FFFFFF"/>
              </w:rPr>
              <w:t xml:space="preserve"> </w:t>
            </w:r>
            <w:r w:rsidRPr="00933B6F">
              <w:t>nustatyti tarnybinio būsto nuomos sąlygos bei tarnybin</w:t>
            </w:r>
            <w:r w:rsidR="00F54AF4">
              <w:t>io</w:t>
            </w:r>
            <w:r w:rsidRPr="00933B6F">
              <w:t xml:space="preserve"> būst</w:t>
            </w:r>
            <w:r w:rsidR="00F54AF4">
              <w:t>o s</w:t>
            </w:r>
            <w:r w:rsidR="00F54AF4" w:rsidRPr="00933B6F">
              <w:t>uteiki</w:t>
            </w:r>
            <w:r w:rsidR="00F54AF4">
              <w:t xml:space="preserve">mo </w:t>
            </w:r>
            <w:r w:rsidR="00F54AF4" w:rsidRPr="00933B6F">
              <w:t>tvarka</w:t>
            </w:r>
            <w:r w:rsidRPr="00933B6F">
              <w:t>.</w:t>
            </w:r>
          </w:p>
        </w:tc>
        <w:tc>
          <w:tcPr>
            <w:tcW w:w="1930" w:type="dxa"/>
          </w:tcPr>
          <w:p w14:paraId="64D7EF09" w14:textId="77777777" w:rsidR="00505157" w:rsidRPr="002B3452" w:rsidRDefault="00505157" w:rsidP="00F257A0">
            <w:pPr>
              <w:widowControl w:val="0"/>
              <w:rPr>
                <w:snapToGrid w:val="0"/>
              </w:rPr>
            </w:pPr>
          </w:p>
        </w:tc>
      </w:tr>
      <w:bookmarkEnd w:id="0"/>
      <w:tr w:rsidR="00C94DE0" w:rsidRPr="002B3452" w14:paraId="64D7EF0F" w14:textId="77777777" w:rsidTr="00482169">
        <w:tc>
          <w:tcPr>
            <w:tcW w:w="2547" w:type="dxa"/>
          </w:tcPr>
          <w:p w14:paraId="64D7EF0B" w14:textId="77777777" w:rsidR="00505157" w:rsidRPr="002B3452" w:rsidRDefault="00505157" w:rsidP="00F257A0">
            <w:pPr>
              <w:widowControl w:val="0"/>
              <w:rPr>
                <w:snapToGrid w:val="0"/>
              </w:rPr>
            </w:pPr>
          </w:p>
        </w:tc>
        <w:tc>
          <w:tcPr>
            <w:tcW w:w="3827" w:type="dxa"/>
          </w:tcPr>
          <w:p w14:paraId="64D7EF0C" w14:textId="36567920" w:rsidR="00505157" w:rsidRPr="002B3452" w:rsidRDefault="009B4198" w:rsidP="009B4198">
            <w:pPr>
              <w:widowControl w:val="0"/>
              <w:jc w:val="both"/>
              <w:rPr>
                <w:snapToGrid w:val="0"/>
              </w:rPr>
            </w:pPr>
            <w:r w:rsidRPr="009B4198">
              <w:rPr>
                <w:snapToGrid w:val="0"/>
              </w:rPr>
              <w:t>Nustatyti tarnybinio būsto nuomos kriterijus, kuriems esant asmenims gali būti suteikiamas tarnybinis būstas.</w:t>
            </w:r>
          </w:p>
        </w:tc>
        <w:tc>
          <w:tcPr>
            <w:tcW w:w="5975" w:type="dxa"/>
          </w:tcPr>
          <w:p w14:paraId="64D7EF0D" w14:textId="5579058F" w:rsidR="00505157" w:rsidRPr="002B3452" w:rsidRDefault="00C30B1D" w:rsidP="009B4198">
            <w:pPr>
              <w:widowControl w:val="0"/>
              <w:jc w:val="both"/>
              <w:rPr>
                <w:snapToGrid w:val="0"/>
              </w:rPr>
            </w:pPr>
            <w:r>
              <w:rPr>
                <w:snapToGrid w:val="0"/>
              </w:rPr>
              <w:t>Aprašo</w:t>
            </w:r>
            <w:r w:rsidR="009B4198">
              <w:rPr>
                <w:snapToGrid w:val="0"/>
              </w:rPr>
              <w:t xml:space="preserve"> </w:t>
            </w:r>
            <w:r>
              <w:rPr>
                <w:snapToGrid w:val="0"/>
              </w:rPr>
              <w:t xml:space="preserve">49-51 punktuose </w:t>
            </w:r>
            <w:r w:rsidR="009B4198" w:rsidRPr="00933B6F">
              <w:t xml:space="preserve">nustatyti tarnybinio būsto nuomos </w:t>
            </w:r>
            <w:r w:rsidR="009B4198">
              <w:t>kriterijai.</w:t>
            </w:r>
          </w:p>
        </w:tc>
        <w:tc>
          <w:tcPr>
            <w:tcW w:w="1930" w:type="dxa"/>
          </w:tcPr>
          <w:p w14:paraId="64D7EF0E" w14:textId="77777777" w:rsidR="00505157" w:rsidRPr="002B3452" w:rsidRDefault="00505157" w:rsidP="00F257A0">
            <w:pPr>
              <w:widowControl w:val="0"/>
              <w:rPr>
                <w:snapToGrid w:val="0"/>
              </w:rPr>
            </w:pPr>
          </w:p>
        </w:tc>
      </w:tr>
      <w:tr w:rsidR="00C94DE0" w:rsidRPr="002B3452" w14:paraId="64D7EF14" w14:textId="77777777" w:rsidTr="00482169">
        <w:tc>
          <w:tcPr>
            <w:tcW w:w="2547" w:type="dxa"/>
          </w:tcPr>
          <w:p w14:paraId="64D7EF10" w14:textId="77777777" w:rsidR="00505157" w:rsidRPr="002B3452" w:rsidRDefault="00505157" w:rsidP="00F257A0">
            <w:pPr>
              <w:widowControl w:val="0"/>
              <w:rPr>
                <w:snapToGrid w:val="0"/>
              </w:rPr>
            </w:pPr>
          </w:p>
        </w:tc>
        <w:tc>
          <w:tcPr>
            <w:tcW w:w="3827" w:type="dxa"/>
          </w:tcPr>
          <w:p w14:paraId="64D7EF11" w14:textId="77777777" w:rsidR="00505157" w:rsidRPr="002B3452" w:rsidRDefault="00505157" w:rsidP="00F257A0">
            <w:pPr>
              <w:widowControl w:val="0"/>
              <w:rPr>
                <w:snapToGrid w:val="0"/>
              </w:rPr>
            </w:pPr>
          </w:p>
        </w:tc>
        <w:tc>
          <w:tcPr>
            <w:tcW w:w="5975" w:type="dxa"/>
          </w:tcPr>
          <w:p w14:paraId="64D7EF12" w14:textId="77777777" w:rsidR="00505157" w:rsidRPr="002B3452" w:rsidRDefault="00505157" w:rsidP="00F257A0">
            <w:pPr>
              <w:widowControl w:val="0"/>
              <w:rPr>
                <w:snapToGrid w:val="0"/>
              </w:rPr>
            </w:pPr>
          </w:p>
        </w:tc>
        <w:tc>
          <w:tcPr>
            <w:tcW w:w="1930" w:type="dxa"/>
          </w:tcPr>
          <w:p w14:paraId="64D7EF13" w14:textId="77777777" w:rsidR="00505157" w:rsidRPr="002B3452" w:rsidRDefault="00505157" w:rsidP="00F257A0">
            <w:pPr>
              <w:widowControl w:val="0"/>
              <w:rPr>
                <w:snapToGrid w:val="0"/>
              </w:rPr>
            </w:pPr>
          </w:p>
        </w:tc>
      </w:tr>
      <w:tr w:rsidR="00505157" w:rsidRPr="002B3452" w14:paraId="64D7EF16" w14:textId="77777777" w:rsidTr="0061579B">
        <w:tc>
          <w:tcPr>
            <w:tcW w:w="14279" w:type="dxa"/>
            <w:gridSpan w:val="4"/>
          </w:tcPr>
          <w:p w14:paraId="64D7EF15" w14:textId="77777777" w:rsidR="00505157" w:rsidRPr="008F1D8D" w:rsidRDefault="00505157" w:rsidP="00F257A0">
            <w:pPr>
              <w:pStyle w:val="Sraopastraipa"/>
              <w:widowControl w:val="0"/>
              <w:numPr>
                <w:ilvl w:val="0"/>
                <w:numId w:val="1"/>
              </w:numPr>
              <w:jc w:val="center"/>
              <w:rPr>
                <w:i/>
                <w:snapToGrid w:val="0"/>
              </w:rPr>
            </w:pPr>
            <w:r w:rsidRPr="008F1D8D">
              <w:rPr>
                <w:i/>
                <w:snapToGrid w:val="0"/>
              </w:rPr>
              <w:t>Kitos antikorupcinės pastabos</w:t>
            </w:r>
          </w:p>
        </w:tc>
      </w:tr>
      <w:tr w:rsidR="00C94DE0" w:rsidRPr="002B3452" w14:paraId="64D7EF1B" w14:textId="77777777" w:rsidTr="00482169">
        <w:tc>
          <w:tcPr>
            <w:tcW w:w="2547" w:type="dxa"/>
          </w:tcPr>
          <w:p w14:paraId="64D7EF17" w14:textId="2565898F" w:rsidR="00505157" w:rsidRPr="00E5413F" w:rsidRDefault="00E5413F" w:rsidP="00F257A0">
            <w:pPr>
              <w:widowControl w:val="0"/>
              <w:rPr>
                <w:bCs/>
                <w:snapToGrid w:val="0"/>
              </w:rPr>
            </w:pPr>
            <w:r w:rsidRPr="00E5413F">
              <w:rPr>
                <w:bCs/>
              </w:rPr>
              <w:t>Siekdami mažinti korupcijos riziką savivaldybės ir socialinio būsto kontrolės ir viešinimo srityse</w:t>
            </w:r>
          </w:p>
        </w:tc>
        <w:tc>
          <w:tcPr>
            <w:tcW w:w="3827" w:type="dxa"/>
          </w:tcPr>
          <w:p w14:paraId="64D7EF18" w14:textId="7077E5DE" w:rsidR="00505157" w:rsidRPr="002B3452" w:rsidRDefault="00E5413F" w:rsidP="00E87EB4">
            <w:pPr>
              <w:tabs>
                <w:tab w:val="left" w:pos="709"/>
                <w:tab w:val="left" w:pos="1134"/>
              </w:tabs>
              <w:contextualSpacing/>
              <w:jc w:val="both"/>
              <w:rPr>
                <w:snapToGrid w:val="0"/>
              </w:rPr>
            </w:pPr>
            <w:r w:rsidRPr="00E5413F">
              <w:rPr>
                <w:rFonts w:eastAsia="Calibri"/>
                <w:lang w:eastAsia="en-US"/>
              </w:rPr>
              <w:t xml:space="preserve">Reglamentuoti savivaldybių tarybų tvarkose ar sudarytose paslaugų teikimo sutartyse aiškiai apibrėžtą ir reguliarų savivaldybės ir socialinio būsto kontrolės mechanizmą (pavyzdžiui, numatyti aiškų būstų apžiūrių skaičių per ketvirtį, numatyti aiškią protokolavimo ir esant pažeidimų – jų fiksavimo tvarką, </w:t>
            </w:r>
            <w:r w:rsidRPr="00E5413F">
              <w:rPr>
                <w:rFonts w:eastAsia="Calibri"/>
                <w:lang w:eastAsia="en-US"/>
              </w:rPr>
              <w:lastRenderedPageBreak/>
              <w:t>patikrinimų metu taikyti keturių akių principą ir kitas priemones).</w:t>
            </w:r>
          </w:p>
        </w:tc>
        <w:tc>
          <w:tcPr>
            <w:tcW w:w="5975" w:type="dxa"/>
          </w:tcPr>
          <w:p w14:paraId="64D7EF19" w14:textId="6765C60C" w:rsidR="00505157" w:rsidRPr="00B20012" w:rsidRDefault="00C30B1D" w:rsidP="00B20012">
            <w:pPr>
              <w:spacing w:before="100" w:beforeAutospacing="1" w:after="100" w:afterAutospacing="1"/>
              <w:jc w:val="both"/>
            </w:pPr>
            <w:r>
              <w:rPr>
                <w:snapToGrid w:val="0"/>
              </w:rPr>
              <w:lastRenderedPageBreak/>
              <w:t>Aprašo</w:t>
            </w:r>
            <w:r w:rsidR="00FA2252">
              <w:rPr>
                <w:snapToGrid w:val="0"/>
              </w:rPr>
              <w:t xml:space="preserve"> IV skyriuje </w:t>
            </w:r>
            <w:r w:rsidR="00B20012">
              <w:rPr>
                <w:snapToGrid w:val="0"/>
              </w:rPr>
              <w:t>„S</w:t>
            </w:r>
            <w:r w:rsidR="00B20012" w:rsidRPr="00B20012">
              <w:t>avivaldybės būsto ir socialinio būsto naudojimo kontrolė“</w:t>
            </w:r>
            <w:r w:rsidR="00B20012">
              <w:t xml:space="preserve"> </w:t>
            </w:r>
            <w:r w:rsidR="00FA2252">
              <w:rPr>
                <w:snapToGrid w:val="0"/>
              </w:rPr>
              <w:t>numatyta</w:t>
            </w:r>
            <w:r w:rsidR="00FA2252">
              <w:rPr>
                <w:b/>
                <w:bCs/>
              </w:rPr>
              <w:t xml:space="preserve"> </w:t>
            </w:r>
            <w:r w:rsidR="00FA2252" w:rsidRPr="00FA2252">
              <w:t>savivaldybės būsto ir socialinio būsto</w:t>
            </w:r>
            <w:r w:rsidR="00B20012">
              <w:t xml:space="preserve"> </w:t>
            </w:r>
            <w:r w:rsidR="00FA2252" w:rsidRPr="00FA2252">
              <w:t>naudojimo kontrolė</w:t>
            </w:r>
            <w:r w:rsidR="00E87EB4">
              <w:t>s tvarka</w:t>
            </w:r>
            <w:r w:rsidR="00FA2252">
              <w:t xml:space="preserve">. </w:t>
            </w:r>
          </w:p>
        </w:tc>
        <w:tc>
          <w:tcPr>
            <w:tcW w:w="1930" w:type="dxa"/>
          </w:tcPr>
          <w:p w14:paraId="64D7EF1A" w14:textId="77777777" w:rsidR="00505157" w:rsidRPr="002B3452" w:rsidRDefault="00505157" w:rsidP="00F257A0">
            <w:pPr>
              <w:widowControl w:val="0"/>
              <w:rPr>
                <w:snapToGrid w:val="0"/>
              </w:rPr>
            </w:pPr>
          </w:p>
        </w:tc>
      </w:tr>
      <w:tr w:rsidR="00C94DE0" w:rsidRPr="002B3452" w14:paraId="64D7EF20" w14:textId="77777777" w:rsidTr="00482169">
        <w:tc>
          <w:tcPr>
            <w:tcW w:w="2547" w:type="dxa"/>
          </w:tcPr>
          <w:p w14:paraId="64D7EF1C" w14:textId="5819CCE0" w:rsidR="00505157" w:rsidRPr="002B3452" w:rsidRDefault="00505157" w:rsidP="009B2F24">
            <w:pPr>
              <w:widowControl w:val="0"/>
              <w:jc w:val="both"/>
              <w:rPr>
                <w:snapToGrid w:val="0"/>
              </w:rPr>
            </w:pPr>
          </w:p>
        </w:tc>
        <w:tc>
          <w:tcPr>
            <w:tcW w:w="3827" w:type="dxa"/>
          </w:tcPr>
          <w:p w14:paraId="64D7EF1D" w14:textId="5CA3E92E" w:rsidR="00505157" w:rsidRPr="002B3452" w:rsidRDefault="009B2F24" w:rsidP="00F257A0">
            <w:pPr>
              <w:widowControl w:val="0"/>
              <w:rPr>
                <w:snapToGrid w:val="0"/>
              </w:rPr>
            </w:pPr>
            <w:r w:rsidRPr="009B2F24">
              <w:rPr>
                <w:snapToGrid w:val="0"/>
              </w:rPr>
              <w:t>Pagal galimybes organizuoti daugiau savivaldybės ir socialinio būsto apžiūrų ir tai reglamentuoti (kurortinėse savivaldybėse didesnį apžiūrų skaičių numatyti vasaros sezono metu).</w:t>
            </w:r>
          </w:p>
        </w:tc>
        <w:tc>
          <w:tcPr>
            <w:tcW w:w="5975" w:type="dxa"/>
          </w:tcPr>
          <w:p w14:paraId="64D7EF1E" w14:textId="03A72170" w:rsidR="00505157" w:rsidRPr="002B3452" w:rsidRDefault="009B2F24" w:rsidP="00641689">
            <w:pPr>
              <w:widowControl w:val="0"/>
              <w:jc w:val="both"/>
              <w:rPr>
                <w:snapToGrid w:val="0"/>
              </w:rPr>
            </w:pPr>
            <w:r>
              <w:rPr>
                <w:snapToGrid w:val="0"/>
              </w:rPr>
              <w:t xml:space="preserve">Artimiausiu metu planuojama papildyti Savivaldybės gyvenamųjų patalpų nuomos problemą sprendimo komisijos nuostatus, kuriuose būtų numatytas aiškesnis reglamentavimas dėl </w:t>
            </w:r>
            <w:r w:rsidRPr="009B2F24">
              <w:rPr>
                <w:snapToGrid w:val="0"/>
              </w:rPr>
              <w:t>savivaldybės ir socialinio būsto apžiūrų</w:t>
            </w:r>
            <w:r w:rsidR="00641689">
              <w:rPr>
                <w:snapToGrid w:val="0"/>
              </w:rPr>
              <w:t xml:space="preserve"> </w:t>
            </w:r>
            <w:r w:rsidR="00E87EB4">
              <w:rPr>
                <w:snapToGrid w:val="0"/>
              </w:rPr>
              <w:t xml:space="preserve">vykdymo </w:t>
            </w:r>
            <w:r w:rsidR="00641689">
              <w:rPr>
                <w:snapToGrid w:val="0"/>
              </w:rPr>
              <w:t>sezono ir ne sezono metu.</w:t>
            </w:r>
          </w:p>
        </w:tc>
        <w:tc>
          <w:tcPr>
            <w:tcW w:w="1930" w:type="dxa"/>
          </w:tcPr>
          <w:p w14:paraId="64D7EF1F" w14:textId="77777777" w:rsidR="00505157" w:rsidRPr="002B3452" w:rsidRDefault="00505157" w:rsidP="00F257A0">
            <w:pPr>
              <w:widowControl w:val="0"/>
              <w:rPr>
                <w:snapToGrid w:val="0"/>
              </w:rPr>
            </w:pPr>
          </w:p>
        </w:tc>
      </w:tr>
      <w:tr w:rsidR="00C94DE0" w:rsidRPr="002B3452" w14:paraId="64D7EF25" w14:textId="77777777" w:rsidTr="00482169">
        <w:tc>
          <w:tcPr>
            <w:tcW w:w="2547" w:type="dxa"/>
          </w:tcPr>
          <w:p w14:paraId="64D7EF21" w14:textId="77777777" w:rsidR="00505157" w:rsidRPr="002B3452" w:rsidRDefault="00505157" w:rsidP="00F257A0">
            <w:pPr>
              <w:widowControl w:val="0"/>
              <w:rPr>
                <w:snapToGrid w:val="0"/>
              </w:rPr>
            </w:pPr>
          </w:p>
        </w:tc>
        <w:tc>
          <w:tcPr>
            <w:tcW w:w="3827" w:type="dxa"/>
          </w:tcPr>
          <w:p w14:paraId="64D7EF22" w14:textId="3DBA83F4" w:rsidR="00505157" w:rsidRPr="002B3452" w:rsidRDefault="005430B3" w:rsidP="00E87EB4">
            <w:pPr>
              <w:tabs>
                <w:tab w:val="left" w:pos="1134"/>
              </w:tabs>
              <w:jc w:val="both"/>
              <w:rPr>
                <w:snapToGrid w:val="0"/>
              </w:rPr>
            </w:pPr>
            <w:r w:rsidRPr="005430B3">
              <w:rPr>
                <w:rFonts w:eastAsiaTheme="minorHAnsi"/>
                <w:lang w:eastAsia="en-US"/>
              </w:rPr>
              <w:t>Paskelbti savivaldybių interneto svetainėse visą aktualią informaciją apie savivaldybės nuomojamus tarnybinius būstus.</w:t>
            </w:r>
          </w:p>
        </w:tc>
        <w:tc>
          <w:tcPr>
            <w:tcW w:w="5975" w:type="dxa"/>
          </w:tcPr>
          <w:p w14:paraId="127B0963" w14:textId="77777777" w:rsidR="00D94874" w:rsidRDefault="005430B3" w:rsidP="0061579B">
            <w:pPr>
              <w:widowControl w:val="0"/>
              <w:jc w:val="both"/>
              <w:rPr>
                <w:snapToGrid w:val="0"/>
              </w:rPr>
            </w:pPr>
            <w:r>
              <w:rPr>
                <w:snapToGrid w:val="0"/>
              </w:rPr>
              <w:t xml:space="preserve">Aktuali informacija apie </w:t>
            </w:r>
            <w:r w:rsidR="0061579B">
              <w:rPr>
                <w:snapToGrid w:val="0"/>
              </w:rPr>
              <w:t>nuomojamus</w:t>
            </w:r>
            <w:r w:rsidR="00D94874">
              <w:rPr>
                <w:snapToGrid w:val="0"/>
              </w:rPr>
              <w:t xml:space="preserve"> </w:t>
            </w:r>
            <w:r w:rsidR="0061579B">
              <w:rPr>
                <w:snapToGrid w:val="0"/>
              </w:rPr>
              <w:t>savivaldybės būstus</w:t>
            </w:r>
            <w:r w:rsidR="00D94874">
              <w:rPr>
                <w:snapToGrid w:val="0"/>
              </w:rPr>
              <w:t xml:space="preserve"> (t. t. tarnybinius)</w:t>
            </w:r>
            <w:r w:rsidR="0061579B">
              <w:rPr>
                <w:snapToGrid w:val="0"/>
              </w:rPr>
              <w:t xml:space="preserve"> skelbiama čia:</w:t>
            </w:r>
          </w:p>
          <w:p w14:paraId="2E85DB82" w14:textId="1523DDCE" w:rsidR="00505157" w:rsidRDefault="00000000" w:rsidP="0061579B">
            <w:pPr>
              <w:widowControl w:val="0"/>
              <w:jc w:val="both"/>
              <w:rPr>
                <w:snapToGrid w:val="0"/>
              </w:rPr>
            </w:pPr>
            <w:hyperlink r:id="rId7" w:history="1">
              <w:r w:rsidR="0061579B" w:rsidRPr="001B165B">
                <w:rPr>
                  <w:rStyle w:val="Hipersaitas"/>
                  <w:snapToGrid w:val="0"/>
                </w:rPr>
                <w:t>https://neringa.lt/savivaldybes-busto-fondas/662</w:t>
              </w:r>
            </w:hyperlink>
          </w:p>
          <w:p w14:paraId="64D7EF23" w14:textId="222CDF79" w:rsidR="0061579B" w:rsidRPr="002B3452" w:rsidRDefault="0061579B" w:rsidP="00F257A0">
            <w:pPr>
              <w:widowControl w:val="0"/>
              <w:rPr>
                <w:snapToGrid w:val="0"/>
              </w:rPr>
            </w:pPr>
          </w:p>
        </w:tc>
        <w:tc>
          <w:tcPr>
            <w:tcW w:w="1930" w:type="dxa"/>
          </w:tcPr>
          <w:p w14:paraId="64D7EF24" w14:textId="77777777" w:rsidR="00505157" w:rsidRPr="002B3452" w:rsidRDefault="00505157" w:rsidP="00F257A0">
            <w:pPr>
              <w:widowControl w:val="0"/>
              <w:rPr>
                <w:snapToGrid w:val="0"/>
              </w:rPr>
            </w:pPr>
          </w:p>
        </w:tc>
      </w:tr>
      <w:tr w:rsidR="0061579B" w:rsidRPr="002B3452" w14:paraId="4B77DA55" w14:textId="77777777" w:rsidTr="00482169">
        <w:tc>
          <w:tcPr>
            <w:tcW w:w="2547" w:type="dxa"/>
          </w:tcPr>
          <w:p w14:paraId="38A5C659" w14:textId="77777777" w:rsidR="0061579B" w:rsidRPr="002B3452" w:rsidRDefault="0061579B" w:rsidP="00F257A0">
            <w:pPr>
              <w:widowControl w:val="0"/>
              <w:rPr>
                <w:snapToGrid w:val="0"/>
              </w:rPr>
            </w:pPr>
          </w:p>
        </w:tc>
        <w:tc>
          <w:tcPr>
            <w:tcW w:w="3827" w:type="dxa"/>
          </w:tcPr>
          <w:p w14:paraId="4AB726F0" w14:textId="4DB835A6" w:rsidR="0061579B" w:rsidRPr="005430B3" w:rsidRDefault="0061579B" w:rsidP="005430B3">
            <w:pPr>
              <w:tabs>
                <w:tab w:val="left" w:pos="1134"/>
              </w:tabs>
              <w:jc w:val="both"/>
              <w:rPr>
                <w:rFonts w:eastAsiaTheme="minorHAnsi"/>
                <w:lang w:eastAsia="en-US"/>
              </w:rPr>
            </w:pPr>
            <w:r w:rsidRPr="0061579B">
              <w:rPr>
                <w:rFonts w:eastAsiaTheme="minorHAnsi"/>
                <w:lang w:eastAsia="en-US"/>
              </w:rPr>
              <w:t>Paskelbti Neringos savivaldybės interneto svetainėje visą aktualią informaciją apie savivaldybės turto panaudos, nuomos, pirkimo–pardavimo, patikėjimo sutartis (nekilnojamojo turto adresas, unikalus numeris, plotas, sutarties šalys, sutarties sudarymo ir galiojimo data, sutarties kaina, teisinis pagrindas, kuriuo vadovaujantis priimtas sprendimas dėl sutarties sudarymo).</w:t>
            </w:r>
          </w:p>
        </w:tc>
        <w:tc>
          <w:tcPr>
            <w:tcW w:w="5975" w:type="dxa"/>
          </w:tcPr>
          <w:p w14:paraId="6F5DA086" w14:textId="437E8071" w:rsidR="00E87EB4" w:rsidRPr="00E87EB4" w:rsidRDefault="00D94874" w:rsidP="0061579B">
            <w:pPr>
              <w:widowControl w:val="0"/>
              <w:jc w:val="both"/>
              <w:rPr>
                <w:snapToGrid w:val="0"/>
              </w:rPr>
            </w:pPr>
            <w:r>
              <w:rPr>
                <w:snapToGrid w:val="0"/>
              </w:rPr>
              <w:t>Aktuali i</w:t>
            </w:r>
            <w:r w:rsidR="00E87EB4" w:rsidRPr="00E87EB4">
              <w:rPr>
                <w:snapToGrid w:val="0"/>
              </w:rPr>
              <w:t>nformacija apie</w:t>
            </w:r>
            <w:r w:rsidR="00E87EB4" w:rsidRPr="00E87EB4">
              <w:rPr>
                <w:rFonts w:eastAsiaTheme="minorHAnsi"/>
                <w:lang w:eastAsia="en-US"/>
              </w:rPr>
              <w:t xml:space="preserve"> savivaldybės turto panaudos, nuomos, pirkimo–pardavimo, patikėjimo sutartis skelbiama čia:</w:t>
            </w:r>
            <w:r w:rsidR="00E87EB4" w:rsidRPr="00E87EB4">
              <w:rPr>
                <w:snapToGrid w:val="0"/>
              </w:rPr>
              <w:t xml:space="preserve"> </w:t>
            </w:r>
            <w:hyperlink r:id="rId8" w:history="1">
              <w:r w:rsidR="006E4042" w:rsidRPr="003959FB">
                <w:rPr>
                  <w:rStyle w:val="Hipersaitas"/>
                  <w:snapToGrid w:val="0"/>
                </w:rPr>
                <w:t>https://neringa.lt/veiklos-sritys/veiklos-sritys/turtas/132</w:t>
              </w:r>
            </w:hyperlink>
            <w:r w:rsidR="006E4042">
              <w:rPr>
                <w:snapToGrid w:val="0"/>
              </w:rPr>
              <w:t xml:space="preserve"> </w:t>
            </w:r>
          </w:p>
        </w:tc>
        <w:tc>
          <w:tcPr>
            <w:tcW w:w="1930" w:type="dxa"/>
          </w:tcPr>
          <w:p w14:paraId="75E41EA0" w14:textId="77777777" w:rsidR="0061579B" w:rsidRPr="002B3452" w:rsidRDefault="0061579B" w:rsidP="00F257A0">
            <w:pPr>
              <w:widowControl w:val="0"/>
              <w:rPr>
                <w:snapToGrid w:val="0"/>
              </w:rPr>
            </w:pPr>
          </w:p>
        </w:tc>
      </w:tr>
      <w:tr w:rsidR="0061579B" w:rsidRPr="002B3452" w14:paraId="15AE2317" w14:textId="77777777" w:rsidTr="00482169">
        <w:tc>
          <w:tcPr>
            <w:tcW w:w="2547" w:type="dxa"/>
          </w:tcPr>
          <w:p w14:paraId="6A37BB3A" w14:textId="77777777" w:rsidR="0061579B" w:rsidRPr="002B3452" w:rsidRDefault="0061579B" w:rsidP="00F257A0">
            <w:pPr>
              <w:widowControl w:val="0"/>
              <w:rPr>
                <w:snapToGrid w:val="0"/>
              </w:rPr>
            </w:pPr>
          </w:p>
        </w:tc>
        <w:tc>
          <w:tcPr>
            <w:tcW w:w="3827" w:type="dxa"/>
          </w:tcPr>
          <w:p w14:paraId="771696C1" w14:textId="7D41379D" w:rsidR="0061579B" w:rsidRPr="005430B3" w:rsidRDefault="0061579B" w:rsidP="005430B3">
            <w:pPr>
              <w:tabs>
                <w:tab w:val="left" w:pos="1134"/>
              </w:tabs>
              <w:jc w:val="both"/>
              <w:rPr>
                <w:rFonts w:eastAsiaTheme="minorHAnsi"/>
                <w:lang w:eastAsia="en-US"/>
              </w:rPr>
            </w:pPr>
            <w:r w:rsidRPr="0061579B">
              <w:rPr>
                <w:rFonts w:eastAsiaTheme="minorHAnsi"/>
                <w:lang w:eastAsia="en-US"/>
              </w:rPr>
              <w:t>Reglamentuoti savivaldybės ir socialinio būsto nuomą ir nustatyti, kad asmenų (šeimų), turinčių teisę į socialinį būstą, sąrašai pagal galimybes yra tikslinami nuolat.</w:t>
            </w:r>
          </w:p>
        </w:tc>
        <w:tc>
          <w:tcPr>
            <w:tcW w:w="5975" w:type="dxa"/>
          </w:tcPr>
          <w:p w14:paraId="38A25F87" w14:textId="09FA3F2D" w:rsidR="0061579B" w:rsidRPr="00E87EB4" w:rsidRDefault="00D94874" w:rsidP="0061579B">
            <w:pPr>
              <w:widowControl w:val="0"/>
              <w:jc w:val="both"/>
              <w:rPr>
                <w:snapToGrid w:val="0"/>
              </w:rPr>
            </w:pPr>
            <w:r>
              <w:rPr>
                <w:snapToGrid w:val="0"/>
              </w:rPr>
              <w:t>Aprašo 23 punkte n</w:t>
            </w:r>
            <w:r w:rsidR="00AC128A" w:rsidRPr="00E87EB4">
              <w:rPr>
                <w:snapToGrid w:val="0"/>
              </w:rPr>
              <w:t xml:space="preserve">ustatyta, kad </w:t>
            </w:r>
            <w:r w:rsidR="00AC128A" w:rsidRPr="00E87EB4">
              <w:t xml:space="preserve">Asmenų ir šeimų </w:t>
            </w:r>
            <w:r w:rsidR="002A58A0">
              <w:t>s</w:t>
            </w:r>
            <w:r w:rsidR="00AC128A" w:rsidRPr="00E87EB4">
              <w:t>ąrašas nustatyta tvarka tvarkomas bei tikslinamas nuolat.</w:t>
            </w:r>
          </w:p>
        </w:tc>
        <w:tc>
          <w:tcPr>
            <w:tcW w:w="1930" w:type="dxa"/>
          </w:tcPr>
          <w:p w14:paraId="483789CC" w14:textId="77777777" w:rsidR="0061579B" w:rsidRPr="002B3452" w:rsidRDefault="0061579B" w:rsidP="00F257A0">
            <w:pPr>
              <w:widowControl w:val="0"/>
              <w:rPr>
                <w:snapToGrid w:val="0"/>
              </w:rPr>
            </w:pPr>
          </w:p>
        </w:tc>
      </w:tr>
      <w:tr w:rsidR="00AC128A" w:rsidRPr="002B3452" w14:paraId="6546693B" w14:textId="77777777" w:rsidTr="00482169">
        <w:tc>
          <w:tcPr>
            <w:tcW w:w="2547" w:type="dxa"/>
          </w:tcPr>
          <w:p w14:paraId="16E51A02" w14:textId="77777777" w:rsidR="00AC128A" w:rsidRPr="002B3452" w:rsidRDefault="00AC128A" w:rsidP="00F257A0">
            <w:pPr>
              <w:widowControl w:val="0"/>
              <w:rPr>
                <w:snapToGrid w:val="0"/>
              </w:rPr>
            </w:pPr>
          </w:p>
        </w:tc>
        <w:tc>
          <w:tcPr>
            <w:tcW w:w="3827" w:type="dxa"/>
          </w:tcPr>
          <w:p w14:paraId="43BDE521" w14:textId="77777777" w:rsidR="00AC128A" w:rsidRPr="00AC128A" w:rsidRDefault="00AC128A" w:rsidP="00AC128A">
            <w:pPr>
              <w:jc w:val="both"/>
              <w:rPr>
                <w:rFonts w:eastAsiaTheme="minorHAnsi"/>
                <w:lang w:eastAsia="en-US"/>
              </w:rPr>
            </w:pPr>
            <w:r w:rsidRPr="00AC128A">
              <w:rPr>
                <w:rFonts w:eastAsiaTheme="minorHAnsi"/>
                <w:lang w:eastAsia="en-US"/>
              </w:rPr>
              <w:t>Asmeniui (šeimai) eilės tvarka įgijus teisę išsinuomoti socialinį būstą, iki socialinio būsto nuomos sutarties sudarymo, patikrinti ar asmuo (šeima) atitinka įstatyme numatytus kriterijus.</w:t>
            </w:r>
          </w:p>
          <w:p w14:paraId="6E236D41" w14:textId="77777777" w:rsidR="00AC128A" w:rsidRPr="0061579B" w:rsidRDefault="00AC128A" w:rsidP="005430B3">
            <w:pPr>
              <w:tabs>
                <w:tab w:val="left" w:pos="1134"/>
              </w:tabs>
              <w:jc w:val="both"/>
              <w:rPr>
                <w:rFonts w:eastAsiaTheme="minorHAnsi"/>
                <w:lang w:eastAsia="en-US"/>
              </w:rPr>
            </w:pPr>
          </w:p>
        </w:tc>
        <w:tc>
          <w:tcPr>
            <w:tcW w:w="5975" w:type="dxa"/>
          </w:tcPr>
          <w:p w14:paraId="60234F19" w14:textId="235934C6" w:rsidR="00AC128A" w:rsidRDefault="00AC128A" w:rsidP="0061579B">
            <w:pPr>
              <w:widowControl w:val="0"/>
              <w:jc w:val="both"/>
              <w:rPr>
                <w:snapToGrid w:val="0"/>
              </w:rPr>
            </w:pPr>
            <w:r>
              <w:rPr>
                <w:snapToGrid w:val="0"/>
              </w:rPr>
              <w:lastRenderedPageBreak/>
              <w:t>Prieš išnuomojant socialinį būstą visada buvo ir yra  tikrinam</w:t>
            </w:r>
            <w:r w:rsidR="005D14BF">
              <w:rPr>
                <w:snapToGrid w:val="0"/>
              </w:rPr>
              <w:t>a</w:t>
            </w:r>
            <w:r>
              <w:rPr>
                <w:snapToGrid w:val="0"/>
              </w:rPr>
              <w:t xml:space="preserve"> </w:t>
            </w:r>
            <w:r w:rsidR="005D14BF">
              <w:rPr>
                <w:snapToGrid w:val="0"/>
              </w:rPr>
              <w:t xml:space="preserve">ar </w:t>
            </w:r>
            <w:r>
              <w:rPr>
                <w:snapToGrid w:val="0"/>
              </w:rPr>
              <w:t>asm</w:t>
            </w:r>
            <w:r w:rsidR="005D14BF">
              <w:rPr>
                <w:snapToGrid w:val="0"/>
              </w:rPr>
              <w:t xml:space="preserve">uo </w:t>
            </w:r>
            <w:r>
              <w:rPr>
                <w:snapToGrid w:val="0"/>
              </w:rPr>
              <w:t>(šeim</w:t>
            </w:r>
            <w:r w:rsidR="005D14BF">
              <w:rPr>
                <w:snapToGrid w:val="0"/>
              </w:rPr>
              <w:t>a</w:t>
            </w:r>
            <w:r>
              <w:rPr>
                <w:snapToGrid w:val="0"/>
              </w:rPr>
              <w:t xml:space="preserve">) </w:t>
            </w:r>
            <w:r w:rsidR="005D14BF">
              <w:rPr>
                <w:snapToGrid w:val="0"/>
              </w:rPr>
              <w:t xml:space="preserve">atitinka </w:t>
            </w:r>
            <w:r w:rsidR="005D14BF">
              <w:t>Lietuvos Respublikos paramos būstui įsigyti ar išsinuomoti įstatyme</w:t>
            </w:r>
            <w:r w:rsidR="005D14BF">
              <w:rPr>
                <w:snapToGrid w:val="0"/>
              </w:rPr>
              <w:t xml:space="preserve"> nustatytus kriterijus ir ar turi teisės į socialinio būsto nuomą. </w:t>
            </w:r>
          </w:p>
        </w:tc>
        <w:tc>
          <w:tcPr>
            <w:tcW w:w="1930" w:type="dxa"/>
          </w:tcPr>
          <w:p w14:paraId="459E4EEB" w14:textId="77777777" w:rsidR="00AC128A" w:rsidRPr="002B3452" w:rsidRDefault="00AC128A" w:rsidP="00F257A0">
            <w:pPr>
              <w:widowControl w:val="0"/>
              <w:rPr>
                <w:snapToGrid w:val="0"/>
              </w:rPr>
            </w:pPr>
          </w:p>
        </w:tc>
      </w:tr>
      <w:tr w:rsidR="00505157" w:rsidRPr="002B3452" w14:paraId="64D7EF27" w14:textId="77777777" w:rsidTr="0061579B">
        <w:tc>
          <w:tcPr>
            <w:tcW w:w="14279" w:type="dxa"/>
            <w:gridSpan w:val="4"/>
          </w:tcPr>
          <w:p w14:paraId="64D7EF26" w14:textId="77777777" w:rsidR="00505157" w:rsidRPr="008F1D8D" w:rsidRDefault="00505157" w:rsidP="00F257A0">
            <w:pPr>
              <w:pStyle w:val="Sraopastraipa"/>
              <w:widowControl w:val="0"/>
              <w:numPr>
                <w:ilvl w:val="0"/>
                <w:numId w:val="1"/>
              </w:numPr>
              <w:jc w:val="center"/>
              <w:rPr>
                <w:i/>
                <w:snapToGrid w:val="0"/>
              </w:rPr>
            </w:pPr>
            <w:r w:rsidRPr="008F1D8D">
              <w:rPr>
                <w:i/>
                <w:snapToGrid w:val="0"/>
              </w:rPr>
              <w:t>Kitos pastabos</w:t>
            </w:r>
          </w:p>
        </w:tc>
      </w:tr>
      <w:tr w:rsidR="00C94DE0" w:rsidRPr="002B3452" w14:paraId="64D7EF2C" w14:textId="77777777" w:rsidTr="00482169">
        <w:tc>
          <w:tcPr>
            <w:tcW w:w="2547" w:type="dxa"/>
          </w:tcPr>
          <w:p w14:paraId="64D7EF28" w14:textId="1DBEAA4C" w:rsidR="00505157" w:rsidRPr="002B3452" w:rsidRDefault="009B4198" w:rsidP="009B4198">
            <w:pPr>
              <w:widowControl w:val="0"/>
              <w:rPr>
                <w:snapToGrid w:val="0"/>
              </w:rPr>
            </w:pPr>
            <w:r w:rsidRPr="009B4198">
              <w:rPr>
                <w:snapToGrid w:val="0"/>
              </w:rPr>
              <w:t>Siekdami mažinti korupcijos riziką savivaldybės (tarnybinio) būsto nuomos srityje</w:t>
            </w:r>
          </w:p>
        </w:tc>
        <w:tc>
          <w:tcPr>
            <w:tcW w:w="3827" w:type="dxa"/>
          </w:tcPr>
          <w:p w14:paraId="64D7EF29" w14:textId="0912BD68" w:rsidR="00505157" w:rsidRPr="002B3452" w:rsidRDefault="009B4198" w:rsidP="009B4198">
            <w:pPr>
              <w:widowControl w:val="0"/>
              <w:jc w:val="both"/>
              <w:rPr>
                <w:snapToGrid w:val="0"/>
              </w:rPr>
            </w:pPr>
            <w:r w:rsidRPr="009B4198">
              <w:rPr>
                <w:snapToGrid w:val="0"/>
              </w:rPr>
              <w:t>Spręsti dėl laisvų savivaldybės būstų nuomos socialinio būsto laukiantiems asmenims (šeimoms).</w:t>
            </w:r>
          </w:p>
        </w:tc>
        <w:tc>
          <w:tcPr>
            <w:tcW w:w="5975" w:type="dxa"/>
          </w:tcPr>
          <w:p w14:paraId="64D7EF2A" w14:textId="1BB4B812" w:rsidR="00D94874" w:rsidRPr="00D94874" w:rsidRDefault="00D94874" w:rsidP="00F257A0">
            <w:pPr>
              <w:widowControl w:val="0"/>
              <w:rPr>
                <w:snapToGrid w:val="0"/>
              </w:rPr>
            </w:pPr>
            <w:r w:rsidRPr="00D94874">
              <w:rPr>
                <w:snapToGrid w:val="0"/>
              </w:rPr>
              <w:t>Dėl statuso suteikimo laisviems savivaldybės būstams sprendžia savivaldybės taryba</w:t>
            </w:r>
            <w:r w:rsidR="00F91CA9">
              <w:rPr>
                <w:snapToGrid w:val="0"/>
              </w:rPr>
              <w:t>, atsižvelgdama į būsto laukiančių asmenų sąrašus bei specialistų poreikį, siekiant užtikrinti savivaldybės biudžetinių įstaigų veiklą bei savivaldos funkcijų įgyvendinimą.</w:t>
            </w:r>
          </w:p>
        </w:tc>
        <w:tc>
          <w:tcPr>
            <w:tcW w:w="1930" w:type="dxa"/>
          </w:tcPr>
          <w:p w14:paraId="64D7EF2B" w14:textId="77777777" w:rsidR="00505157" w:rsidRPr="002B3452" w:rsidRDefault="00505157" w:rsidP="00F257A0">
            <w:pPr>
              <w:widowControl w:val="0"/>
              <w:rPr>
                <w:snapToGrid w:val="0"/>
              </w:rPr>
            </w:pPr>
          </w:p>
        </w:tc>
      </w:tr>
      <w:tr w:rsidR="00C94DE0" w:rsidRPr="002B3452" w14:paraId="64D7EF31" w14:textId="77777777" w:rsidTr="00482169">
        <w:tc>
          <w:tcPr>
            <w:tcW w:w="2547" w:type="dxa"/>
          </w:tcPr>
          <w:p w14:paraId="64D7EF2D" w14:textId="77777777" w:rsidR="00505157" w:rsidRPr="002B3452" w:rsidRDefault="00505157" w:rsidP="00F257A0">
            <w:pPr>
              <w:widowControl w:val="0"/>
              <w:rPr>
                <w:snapToGrid w:val="0"/>
              </w:rPr>
            </w:pPr>
          </w:p>
        </w:tc>
        <w:tc>
          <w:tcPr>
            <w:tcW w:w="3827" w:type="dxa"/>
          </w:tcPr>
          <w:p w14:paraId="64D7EF2E" w14:textId="3DA772D8" w:rsidR="00505157" w:rsidRPr="002B3452" w:rsidRDefault="00D25392" w:rsidP="00D25392">
            <w:pPr>
              <w:widowControl w:val="0"/>
              <w:rPr>
                <w:snapToGrid w:val="0"/>
              </w:rPr>
            </w:pPr>
            <w:r w:rsidRPr="00D25392">
              <w:rPr>
                <w:snapToGrid w:val="0"/>
              </w:rPr>
              <w:t>Savivaldybės teisiniame reglamentavime aiškiai nustatyti, kas turi išimtinę teisę priimti sprendimus dėl tarnybinių būstų suteikimo.</w:t>
            </w:r>
          </w:p>
        </w:tc>
        <w:tc>
          <w:tcPr>
            <w:tcW w:w="5975" w:type="dxa"/>
          </w:tcPr>
          <w:p w14:paraId="64D7EF2F" w14:textId="7F414289" w:rsidR="00505157" w:rsidRPr="00F91CA9" w:rsidRDefault="00F91CA9" w:rsidP="00F257A0">
            <w:pPr>
              <w:widowControl w:val="0"/>
              <w:rPr>
                <w:snapToGrid w:val="0"/>
              </w:rPr>
            </w:pPr>
            <w:r w:rsidRPr="00F91CA9">
              <w:rPr>
                <w:snapToGrid w:val="0"/>
              </w:rPr>
              <w:t>Aprašo</w:t>
            </w:r>
            <w:r w:rsidR="00E2642F" w:rsidRPr="00F91CA9">
              <w:rPr>
                <w:snapToGrid w:val="0"/>
              </w:rPr>
              <w:t xml:space="preserve"> 59 punkte numatyta Savivaldybės administracijos direktoriaus teisė priimti sprendimus dėl tarnybinio būsto suteikimo</w:t>
            </w:r>
          </w:p>
        </w:tc>
        <w:tc>
          <w:tcPr>
            <w:tcW w:w="1930" w:type="dxa"/>
          </w:tcPr>
          <w:p w14:paraId="64D7EF30" w14:textId="77777777" w:rsidR="00505157" w:rsidRPr="002B3452" w:rsidRDefault="00505157" w:rsidP="00F257A0">
            <w:pPr>
              <w:widowControl w:val="0"/>
              <w:rPr>
                <w:snapToGrid w:val="0"/>
              </w:rPr>
            </w:pPr>
          </w:p>
        </w:tc>
      </w:tr>
      <w:tr w:rsidR="00C94DE0" w:rsidRPr="002B3452" w14:paraId="64D7EF36" w14:textId="77777777" w:rsidTr="00482169">
        <w:tc>
          <w:tcPr>
            <w:tcW w:w="2547" w:type="dxa"/>
          </w:tcPr>
          <w:p w14:paraId="64D7EF32" w14:textId="77777777" w:rsidR="00505157" w:rsidRPr="002B3452" w:rsidRDefault="00505157" w:rsidP="00F257A0">
            <w:pPr>
              <w:widowControl w:val="0"/>
              <w:rPr>
                <w:snapToGrid w:val="0"/>
              </w:rPr>
            </w:pPr>
          </w:p>
        </w:tc>
        <w:tc>
          <w:tcPr>
            <w:tcW w:w="3827" w:type="dxa"/>
          </w:tcPr>
          <w:p w14:paraId="64D7EF33" w14:textId="651B474F" w:rsidR="00505157" w:rsidRPr="002B3452" w:rsidRDefault="00482169" w:rsidP="00F257A0">
            <w:pPr>
              <w:widowControl w:val="0"/>
              <w:rPr>
                <w:snapToGrid w:val="0"/>
              </w:rPr>
            </w:pPr>
            <w:r w:rsidRPr="00482169">
              <w:rPr>
                <w:snapToGrid w:val="0"/>
              </w:rPr>
              <w:t>Tobulinti teisinį reguliavimą ir nustatyti aiškius, objektyviai pagrindžiamus kriterijus (pavyzdžiui, darbuotojas nuosavybės teise negali turėti gyvenamo nekilnojamojo turto), kuriais vadovaujantis būtų suteikiamas savivaldybės būstas.</w:t>
            </w:r>
          </w:p>
        </w:tc>
        <w:tc>
          <w:tcPr>
            <w:tcW w:w="5975" w:type="dxa"/>
          </w:tcPr>
          <w:p w14:paraId="12995238" w14:textId="7BACD1B0" w:rsidR="00E2642F" w:rsidRPr="00F91CA9" w:rsidRDefault="00F91CA9" w:rsidP="00AF793B">
            <w:pPr>
              <w:pStyle w:val="Pagrindiniotekstotrauka2"/>
              <w:tabs>
                <w:tab w:val="left" w:pos="1134"/>
              </w:tabs>
              <w:ind w:firstLine="0"/>
            </w:pPr>
            <w:r>
              <w:rPr>
                <w:snapToGrid w:val="0"/>
              </w:rPr>
              <w:t>Aprašo</w:t>
            </w:r>
            <w:r w:rsidR="00E2642F" w:rsidRPr="00F91CA9">
              <w:rPr>
                <w:snapToGrid w:val="0"/>
              </w:rPr>
              <w:t xml:space="preserve"> 51 punkte numatyta</w:t>
            </w:r>
            <w:r w:rsidR="00AF793B" w:rsidRPr="00F91CA9">
              <w:rPr>
                <w:snapToGrid w:val="0"/>
              </w:rPr>
              <w:t>, kad t</w:t>
            </w:r>
            <w:r w:rsidR="00E2642F" w:rsidRPr="00F91CA9">
              <w:t xml:space="preserve">arnybinės gyvenamosios patalpos gali būti išnuomotos darbuotojams (tarnautojams), kurie </w:t>
            </w:r>
            <w:r w:rsidR="00E2642F" w:rsidRPr="00F91CA9">
              <w:rPr>
                <w:rFonts w:eastAsia="Lucida Sans Unicode"/>
                <w:lang w:eastAsia="ar-SA"/>
              </w:rPr>
              <w:t xml:space="preserve">(šeimos atveju – visi šeimos nariai) neturi nuosavybės teise nekilnojamojo turto </w:t>
            </w:r>
            <w:r w:rsidR="00E2642F" w:rsidRPr="00F91CA9">
              <w:rPr>
                <w:lang w:eastAsia="lt-LT"/>
              </w:rPr>
              <w:t>Neringoje</w:t>
            </w:r>
          </w:p>
          <w:p w14:paraId="64D7EF34" w14:textId="1EF3E079" w:rsidR="00505157" w:rsidRPr="00F91CA9" w:rsidRDefault="00505157" w:rsidP="00F257A0">
            <w:pPr>
              <w:widowControl w:val="0"/>
              <w:rPr>
                <w:snapToGrid w:val="0"/>
              </w:rPr>
            </w:pPr>
          </w:p>
        </w:tc>
        <w:tc>
          <w:tcPr>
            <w:tcW w:w="1930" w:type="dxa"/>
          </w:tcPr>
          <w:p w14:paraId="64D7EF35" w14:textId="77777777" w:rsidR="00505157" w:rsidRPr="002B3452" w:rsidRDefault="00505157" w:rsidP="00F257A0">
            <w:pPr>
              <w:widowControl w:val="0"/>
              <w:rPr>
                <w:snapToGrid w:val="0"/>
              </w:rPr>
            </w:pPr>
          </w:p>
        </w:tc>
      </w:tr>
      <w:tr w:rsidR="00482169" w:rsidRPr="002B3452" w14:paraId="462786EA" w14:textId="77777777" w:rsidTr="00482169">
        <w:tc>
          <w:tcPr>
            <w:tcW w:w="2547" w:type="dxa"/>
          </w:tcPr>
          <w:p w14:paraId="077B3253" w14:textId="32B3F411" w:rsidR="00482169" w:rsidRPr="002B3452" w:rsidRDefault="00482169" w:rsidP="00F257A0">
            <w:pPr>
              <w:widowControl w:val="0"/>
              <w:rPr>
                <w:snapToGrid w:val="0"/>
              </w:rPr>
            </w:pPr>
            <w:r w:rsidRPr="00482169">
              <w:rPr>
                <w:snapToGrid w:val="0"/>
              </w:rPr>
              <w:t>Siekdami mažinti korupcijos riziką savivaldybių būsto turto vertinimo srityje</w:t>
            </w:r>
          </w:p>
        </w:tc>
        <w:tc>
          <w:tcPr>
            <w:tcW w:w="3827" w:type="dxa"/>
          </w:tcPr>
          <w:p w14:paraId="1C464769" w14:textId="4D577F07" w:rsidR="00482169" w:rsidRPr="00482169" w:rsidRDefault="00482169" w:rsidP="00482169">
            <w:pPr>
              <w:widowControl w:val="0"/>
              <w:jc w:val="both"/>
              <w:rPr>
                <w:snapToGrid w:val="0"/>
              </w:rPr>
            </w:pPr>
            <w:r w:rsidRPr="00482169">
              <w:rPr>
                <w:snapToGrid w:val="0"/>
              </w:rPr>
              <w:t>Dalyvauti turto apžiūrose, analizuoti ir objektyviai vertinti turto vertintojų pateiktas ataskaitas dėl turto rinkos vertės nustatymo, o nustačius neatitikimų ar kitų klaidų pasinaudoti paslaugų sutartyje nustatyta teise reikšti pretenzijas turto vertintojui ir reikalauti pašalinti trūkumus arba kreiptis į Audito, apskaitos, turto vertinimo ir nemokumo valdymo tarnybą, turto vertintojų veiklą kontroliuojančią instituciją</w:t>
            </w:r>
          </w:p>
        </w:tc>
        <w:tc>
          <w:tcPr>
            <w:tcW w:w="5975" w:type="dxa"/>
          </w:tcPr>
          <w:p w14:paraId="4F2E55E5" w14:textId="4908B6DC" w:rsidR="00482169" w:rsidRPr="00D25392" w:rsidRDefault="00AB1B6C" w:rsidP="00F257A0">
            <w:pPr>
              <w:widowControl w:val="0"/>
              <w:rPr>
                <w:snapToGrid w:val="0"/>
                <w:color w:val="FF0000"/>
              </w:rPr>
            </w:pPr>
            <w:r w:rsidRPr="00F91CA9">
              <w:rPr>
                <w:snapToGrid w:val="0"/>
              </w:rPr>
              <w:t>Savivaldybė</w:t>
            </w:r>
            <w:r w:rsidR="00501D21" w:rsidRPr="00F91CA9">
              <w:rPr>
                <w:snapToGrid w:val="0"/>
              </w:rPr>
              <w:t>s specialistai neturi turto vertintoj</w:t>
            </w:r>
            <w:r w:rsidR="00C30B1D" w:rsidRPr="00F91CA9">
              <w:rPr>
                <w:snapToGrid w:val="0"/>
              </w:rPr>
              <w:t>o</w:t>
            </w:r>
            <w:r w:rsidR="00501D21" w:rsidRPr="00F91CA9">
              <w:rPr>
                <w:snapToGrid w:val="0"/>
              </w:rPr>
              <w:t xml:space="preserve"> kvalifikacijos, todėl turto vertintojų pateiktas ataskaitas vertina</w:t>
            </w:r>
            <w:r w:rsidR="00C30B1D" w:rsidRPr="00F91CA9">
              <w:rPr>
                <w:snapToGrid w:val="0"/>
              </w:rPr>
              <w:t xml:space="preserve"> tiek, kiek leidžia </w:t>
            </w:r>
            <w:r w:rsidR="00501D21" w:rsidRPr="00F91CA9">
              <w:rPr>
                <w:snapToGrid w:val="0"/>
              </w:rPr>
              <w:t>turim</w:t>
            </w:r>
            <w:r w:rsidR="00C30B1D" w:rsidRPr="00F91CA9">
              <w:rPr>
                <w:snapToGrid w:val="0"/>
              </w:rPr>
              <w:t>a</w:t>
            </w:r>
            <w:r w:rsidR="00501D21" w:rsidRPr="00F91CA9">
              <w:rPr>
                <w:snapToGrid w:val="0"/>
              </w:rPr>
              <w:t xml:space="preserve"> kvalifikacij</w:t>
            </w:r>
            <w:r w:rsidR="00C30B1D" w:rsidRPr="00F91CA9">
              <w:rPr>
                <w:snapToGrid w:val="0"/>
              </w:rPr>
              <w:t>a</w:t>
            </w:r>
            <w:r w:rsidR="00501D21" w:rsidRPr="00F91CA9">
              <w:rPr>
                <w:snapToGrid w:val="0"/>
              </w:rPr>
              <w:t xml:space="preserve"> ir galimyb</w:t>
            </w:r>
            <w:r w:rsidR="00C30B1D" w:rsidRPr="00F91CA9">
              <w:rPr>
                <w:snapToGrid w:val="0"/>
              </w:rPr>
              <w:t>ė</w:t>
            </w:r>
            <w:r w:rsidR="00501D21" w:rsidRPr="00F91CA9">
              <w:rPr>
                <w:snapToGrid w:val="0"/>
              </w:rPr>
              <w:t>s.</w:t>
            </w:r>
          </w:p>
        </w:tc>
        <w:tc>
          <w:tcPr>
            <w:tcW w:w="1930" w:type="dxa"/>
          </w:tcPr>
          <w:p w14:paraId="3FA2085C" w14:textId="77777777" w:rsidR="00482169" w:rsidRPr="002B3452" w:rsidRDefault="00482169" w:rsidP="00F257A0">
            <w:pPr>
              <w:widowControl w:val="0"/>
              <w:rPr>
                <w:snapToGrid w:val="0"/>
              </w:rPr>
            </w:pPr>
          </w:p>
        </w:tc>
      </w:tr>
    </w:tbl>
    <w:p w14:paraId="64D7EF37" w14:textId="77777777" w:rsidR="00505157" w:rsidRDefault="00505157" w:rsidP="00505157">
      <w:pPr>
        <w:spacing w:line="360" w:lineRule="auto"/>
        <w:ind w:firstLine="851"/>
        <w:jc w:val="center"/>
        <w:rPr>
          <w:lang w:eastAsia="en-US"/>
        </w:rPr>
      </w:pPr>
    </w:p>
    <w:p w14:paraId="64D7EF38" w14:textId="77777777" w:rsidR="00505157" w:rsidRDefault="00505157" w:rsidP="00505157">
      <w:pPr>
        <w:jc w:val="center"/>
      </w:pPr>
      <w:r>
        <w:t>____________</w:t>
      </w:r>
    </w:p>
    <w:p w14:paraId="64D7EF39" w14:textId="77777777" w:rsidR="00406049" w:rsidRDefault="00000000"/>
    <w:sectPr w:rsidR="00406049" w:rsidSect="0037500E">
      <w:footnotePr>
        <w:numFmt w:val="chicago"/>
      </w:footnotePr>
      <w:pgSz w:w="16838" w:h="11906" w:orient="landscape"/>
      <w:pgMar w:top="1701" w:right="141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8E25" w14:textId="77777777" w:rsidR="003D1BAA" w:rsidRDefault="003D1BAA" w:rsidP="00505157">
      <w:r>
        <w:separator/>
      </w:r>
    </w:p>
  </w:endnote>
  <w:endnote w:type="continuationSeparator" w:id="0">
    <w:p w14:paraId="68D470E4" w14:textId="77777777" w:rsidR="003D1BAA" w:rsidRDefault="003D1BAA" w:rsidP="005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6C08" w14:textId="77777777" w:rsidR="003D1BAA" w:rsidRDefault="003D1BAA" w:rsidP="00505157">
      <w:r>
        <w:separator/>
      </w:r>
    </w:p>
  </w:footnote>
  <w:footnote w:type="continuationSeparator" w:id="0">
    <w:p w14:paraId="29C375A8" w14:textId="77777777" w:rsidR="003D1BAA" w:rsidRDefault="003D1BAA" w:rsidP="00505157">
      <w:r>
        <w:continuationSeparator/>
      </w:r>
    </w:p>
  </w:footnote>
  <w:footnote w:id="1">
    <w:p w14:paraId="64D7EF3E" w14:textId="77777777" w:rsidR="00505157" w:rsidRPr="0013385B" w:rsidRDefault="00505157" w:rsidP="00505157">
      <w:pPr>
        <w:pStyle w:val="Puslapioinaostekstas"/>
        <w:jc w:val="both"/>
        <w:rPr>
          <w:rFonts w:ascii="Times New Roman" w:hAnsi="Times New Roman"/>
        </w:rPr>
      </w:pPr>
      <w:r w:rsidRPr="00770A2D">
        <w:rPr>
          <w:rStyle w:val="Puslapioinaosnuoroda"/>
          <w:rFonts w:ascii="Times New Roman" w:hAnsi="Times New Roman"/>
        </w:rPr>
        <w:footnoteRef/>
      </w:r>
      <w:r w:rsidRPr="00770A2D">
        <w:rPr>
          <w:rFonts w:ascii="Times New Roman" w:hAnsi="Times New Roman"/>
          <w:bCs/>
        </w:rPr>
        <w:t xml:space="preserve"> Informaciją apie išvadoje dėl korupcijos rizikos analizės nurodytų pasiūly</w:t>
      </w:r>
      <w:r w:rsidRPr="000D690B">
        <w:rPr>
          <w:rFonts w:ascii="Times New Roman" w:hAnsi="Times New Roman"/>
          <w:bCs/>
        </w:rPr>
        <w:t>mų vykdymą ar numatomą įgyvendinimą prašome pateikti STT ne vėliau kaip per 3 mėnesius nuo išvados dėl korupcijos rizikos analizės gavimo dienos.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5923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57"/>
    <w:rsid w:val="000E2DD3"/>
    <w:rsid w:val="00113A30"/>
    <w:rsid w:val="00143EB5"/>
    <w:rsid w:val="0017654D"/>
    <w:rsid w:val="002A58A0"/>
    <w:rsid w:val="00323D3C"/>
    <w:rsid w:val="003D1BAA"/>
    <w:rsid w:val="00482169"/>
    <w:rsid w:val="00501D21"/>
    <w:rsid w:val="00505157"/>
    <w:rsid w:val="005430B3"/>
    <w:rsid w:val="005D14BF"/>
    <w:rsid w:val="00600CCC"/>
    <w:rsid w:val="0061579B"/>
    <w:rsid w:val="00641689"/>
    <w:rsid w:val="006E4042"/>
    <w:rsid w:val="008E3CD6"/>
    <w:rsid w:val="009457DD"/>
    <w:rsid w:val="009B2F24"/>
    <w:rsid w:val="009B4198"/>
    <w:rsid w:val="00AB1B6C"/>
    <w:rsid w:val="00AC128A"/>
    <w:rsid w:val="00AF793B"/>
    <w:rsid w:val="00B20012"/>
    <w:rsid w:val="00BE2066"/>
    <w:rsid w:val="00C30B1D"/>
    <w:rsid w:val="00C55CCE"/>
    <w:rsid w:val="00C94DE0"/>
    <w:rsid w:val="00CA3048"/>
    <w:rsid w:val="00D25392"/>
    <w:rsid w:val="00D94874"/>
    <w:rsid w:val="00E2642F"/>
    <w:rsid w:val="00E5413F"/>
    <w:rsid w:val="00E87EB4"/>
    <w:rsid w:val="00F54AF4"/>
    <w:rsid w:val="00F91CA9"/>
    <w:rsid w:val="00FA22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EEFB"/>
  <w15:chartTrackingRefBased/>
  <w15:docId w15:val="{4674B3B3-EF0E-4CAE-83D8-262C369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515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rsid w:val="00505157"/>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uiPriority w:val="99"/>
    <w:rsid w:val="00505157"/>
    <w:rPr>
      <w:rFonts w:ascii="Arial" w:eastAsia="Calibri" w:hAnsi="Arial" w:cs="Times New Roman"/>
      <w:sz w:val="20"/>
      <w:szCs w:val="20"/>
      <w:lang w:eastAsia="lt-LT"/>
    </w:rPr>
  </w:style>
  <w:style w:type="character" w:styleId="Puslapioinaosnuoroda">
    <w:name w:val="footnote reference"/>
    <w:uiPriority w:val="99"/>
    <w:rsid w:val="00505157"/>
    <w:rPr>
      <w:rFonts w:cs="Times New Roman"/>
      <w:vertAlign w:val="superscript"/>
    </w:rPr>
  </w:style>
  <w:style w:type="table" w:styleId="Lentelstinklelis">
    <w:name w:val="Table Grid"/>
    <w:basedOn w:val="prastojilentel"/>
    <w:rsid w:val="0050515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505157"/>
    <w:pPr>
      <w:ind w:left="720"/>
      <w:contextualSpacing/>
    </w:pPr>
    <w:rPr>
      <w:szCs w:val="20"/>
      <w:lang w:eastAsia="en-US"/>
    </w:rPr>
  </w:style>
  <w:style w:type="character" w:styleId="Hipersaitas">
    <w:name w:val="Hyperlink"/>
    <w:basedOn w:val="Numatytasispastraiposriftas"/>
    <w:uiPriority w:val="99"/>
    <w:unhideWhenUsed/>
    <w:rsid w:val="0061579B"/>
    <w:rPr>
      <w:color w:val="0563C1" w:themeColor="hyperlink"/>
      <w:u w:val="single"/>
    </w:rPr>
  </w:style>
  <w:style w:type="character" w:styleId="Neapdorotaspaminjimas">
    <w:name w:val="Unresolved Mention"/>
    <w:basedOn w:val="Numatytasispastraiposriftas"/>
    <w:uiPriority w:val="99"/>
    <w:semiHidden/>
    <w:unhideWhenUsed/>
    <w:rsid w:val="0061579B"/>
    <w:rPr>
      <w:color w:val="605E5C"/>
      <w:shd w:val="clear" w:color="auto" w:fill="E1DFDD"/>
    </w:rPr>
  </w:style>
  <w:style w:type="character" w:styleId="Perirtashipersaitas">
    <w:name w:val="FollowedHyperlink"/>
    <w:basedOn w:val="Numatytasispastraiposriftas"/>
    <w:uiPriority w:val="99"/>
    <w:semiHidden/>
    <w:unhideWhenUsed/>
    <w:rsid w:val="0061579B"/>
    <w:rPr>
      <w:color w:val="954F72" w:themeColor="followedHyperlink"/>
      <w:u w:val="single"/>
    </w:rPr>
  </w:style>
  <w:style w:type="paragraph" w:styleId="Pagrindiniotekstotrauka2">
    <w:name w:val="Body Text Indent 2"/>
    <w:basedOn w:val="prastasis"/>
    <w:link w:val="Pagrindiniotekstotrauka2Diagrama"/>
    <w:rsid w:val="00E2642F"/>
    <w:pPr>
      <w:tabs>
        <w:tab w:val="left" w:pos="0"/>
      </w:tabs>
      <w:ind w:firstLine="720"/>
      <w:jc w:val="both"/>
    </w:pPr>
    <w:rPr>
      <w:lang w:eastAsia="en-US"/>
    </w:rPr>
  </w:style>
  <w:style w:type="character" w:customStyle="1" w:styleId="Pagrindiniotekstotrauka2Diagrama">
    <w:name w:val="Pagrindinio teksto įtrauka 2 Diagrama"/>
    <w:basedOn w:val="Numatytasispastraiposriftas"/>
    <w:link w:val="Pagrindiniotekstotrauka2"/>
    <w:rsid w:val="00E264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ringa.lt/veiklos-sritys/veiklos-sritys/turtas/132" TargetMode="External"/><Relationship Id="rId3" Type="http://schemas.openxmlformats.org/officeDocument/2006/relationships/settings" Target="settings.xml"/><Relationship Id="rId7" Type="http://schemas.openxmlformats.org/officeDocument/2006/relationships/hyperlink" Target="https://neringa.lt/savivaldybes-busto-fondas/6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3601</Words>
  <Characters>2053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Rimša</dc:creator>
  <cp:keywords/>
  <dc:description/>
  <cp:lastModifiedBy>Sandra Dargienė</cp:lastModifiedBy>
  <cp:revision>2</cp:revision>
  <dcterms:created xsi:type="dcterms:W3CDTF">2022-07-18T13:20:00Z</dcterms:created>
  <dcterms:modified xsi:type="dcterms:W3CDTF">2022-07-18T13:20:00Z</dcterms:modified>
</cp:coreProperties>
</file>